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DECB" w14:textId="09B9C0CC" w:rsidR="00E57BD6" w:rsidRDefault="00407B20" w:rsidP="00D13735">
      <w:pPr>
        <w:pStyle w:val="Heading1"/>
      </w:pPr>
      <w:r>
        <w:t xml:space="preserve">Scottish Ambulance Service </w:t>
      </w:r>
      <w:r w:rsidR="00770F9A" w:rsidRPr="00770F9A">
        <w:t>A</w:t>
      </w:r>
      <w:r w:rsidR="00770F9A">
        <w:t xml:space="preserve">dvanced </w:t>
      </w:r>
      <w:r w:rsidR="00770F9A" w:rsidRPr="00770F9A">
        <w:t>P</w:t>
      </w:r>
      <w:r w:rsidR="00770F9A">
        <w:t xml:space="preserve">ractitioner </w:t>
      </w:r>
      <w:r w:rsidR="00770F9A" w:rsidRPr="00770F9A">
        <w:t>University Programme Tender Criteria</w:t>
      </w:r>
    </w:p>
    <w:p w14:paraId="0252D6BD" w14:textId="77777777" w:rsidR="00D13735" w:rsidRPr="00D13735" w:rsidRDefault="00D13735" w:rsidP="00407B20">
      <w:pPr>
        <w:pStyle w:val="Heading2"/>
      </w:pPr>
    </w:p>
    <w:p w14:paraId="6381B6A8" w14:textId="65B4FFAA" w:rsidR="00E57BD6" w:rsidRDefault="00076AE4" w:rsidP="00407B20">
      <w:pPr>
        <w:pStyle w:val="Heading2"/>
      </w:pPr>
      <w:r>
        <w:t>Background</w:t>
      </w:r>
    </w:p>
    <w:p w14:paraId="37C830B6" w14:textId="08924E5E" w:rsidR="007D0332" w:rsidRDefault="007D0332" w:rsidP="007D0332">
      <w:r>
        <w:t xml:space="preserve">The SAS AP training programme </w:t>
      </w:r>
      <w:r w:rsidR="00076AE4">
        <w:t>requires staff to achieve a</w:t>
      </w:r>
      <w:r>
        <w:t xml:space="preserve"> PG Dip in Advanced Practice and </w:t>
      </w:r>
      <w:r w:rsidR="00076AE4">
        <w:t>to complete</w:t>
      </w:r>
      <w:r>
        <w:t xml:space="preserve"> </w:t>
      </w:r>
      <w:r w:rsidR="000357FB">
        <w:t>a</w:t>
      </w:r>
      <w:r w:rsidR="00076AE4">
        <w:t xml:space="preserve"> SAS</w:t>
      </w:r>
      <w:r w:rsidR="000357FB">
        <w:t>-based</w:t>
      </w:r>
      <w:r w:rsidR="00076AE4">
        <w:t xml:space="preserve"> C</w:t>
      </w:r>
      <w:r>
        <w:t xml:space="preserve">ompetency </w:t>
      </w:r>
      <w:r w:rsidR="00076AE4">
        <w:t>F</w:t>
      </w:r>
      <w:r>
        <w:t xml:space="preserve">ramework to achieve final sign off. </w:t>
      </w:r>
    </w:p>
    <w:p w14:paraId="758E824E" w14:textId="63A6A019" w:rsidR="00076AE4" w:rsidRDefault="00076AE4" w:rsidP="007D0332">
      <w:r>
        <w:t xml:space="preserve">During </w:t>
      </w:r>
      <w:r w:rsidR="00E44FC3">
        <w:t xml:space="preserve">the 23/24 academic year, a review of the way we access </w:t>
      </w:r>
      <w:r w:rsidR="006842E3">
        <w:t xml:space="preserve">university programmes for trainees was undertaken. </w:t>
      </w:r>
      <w:r w:rsidR="000857DD">
        <w:t xml:space="preserve">Until now, we have sent most staff to a single university programme, </w:t>
      </w:r>
      <w:r w:rsidR="002B7A79">
        <w:t>however this has proven to be inflexible, does not allow for individual preferences and incur</w:t>
      </w:r>
      <w:r w:rsidR="00AE252F">
        <w:t>s</w:t>
      </w:r>
      <w:r w:rsidR="002B7A79">
        <w:t xml:space="preserve"> significant</w:t>
      </w:r>
      <w:r w:rsidR="00AE252F">
        <w:t xml:space="preserve"> travel and accommodation costs for trainees in some areas. </w:t>
      </w:r>
      <w:r w:rsidR="002B7A79">
        <w:t xml:space="preserve"> </w:t>
      </w:r>
    </w:p>
    <w:p w14:paraId="0F457782" w14:textId="4C211CA0" w:rsidR="00847B2A" w:rsidRDefault="00847B2A" w:rsidP="007D0332">
      <w:r>
        <w:t>Other health boards access programmes that are local to thei</w:t>
      </w:r>
      <w:r w:rsidR="00D027E1">
        <w:t xml:space="preserve">r area for advanced practice programmes, with some </w:t>
      </w:r>
      <w:r w:rsidR="00162EFB">
        <w:t>being involved</w:t>
      </w:r>
      <w:r w:rsidR="00D027E1">
        <w:t xml:space="preserve"> in the programmes themselves</w:t>
      </w:r>
      <w:r w:rsidR="00E22860">
        <w:t xml:space="preserve"> due to high numbers of trainees on the programmes</w:t>
      </w:r>
      <w:r w:rsidR="00D027E1">
        <w:t>. SAS is in a unique position as a national boar</w:t>
      </w:r>
      <w:r w:rsidR="00E22860">
        <w:t xml:space="preserve">d, where we seek to </w:t>
      </w:r>
      <w:r w:rsidR="00696741">
        <w:t xml:space="preserve">have </w:t>
      </w:r>
      <w:r w:rsidR="0025264A">
        <w:t>a programme</w:t>
      </w:r>
      <w:r w:rsidR="00696741">
        <w:t xml:space="preserve"> provision across Scotland</w:t>
      </w:r>
      <w:r w:rsidR="00E17EDD">
        <w:t xml:space="preserve">, making our student numbers too low in each area to allow for negotiation or involvement in </w:t>
      </w:r>
      <w:r w:rsidR="0025264A">
        <w:t>each programme.</w:t>
      </w:r>
    </w:p>
    <w:p w14:paraId="6CFCD53E" w14:textId="7EA90957" w:rsidR="00002ACE" w:rsidRDefault="00002ACE" w:rsidP="007D0332">
      <w:r>
        <w:t xml:space="preserve">The Scottish Ambulance Service adopted the Scottish Government’s Transforming Roles papers as the basis for our Advanced Practitioner training programme </w:t>
      </w:r>
      <w:r w:rsidRPr="00E4207F">
        <w:rPr>
          <w:highlight w:val="yellow"/>
        </w:rPr>
        <w:t>(document attached)</w:t>
      </w:r>
      <w:r>
        <w:t xml:space="preserve"> and use the NHS Education for Scotland (NES) Advanced Practice Toolkit as the foundation of our training programme, governance processes and future planning.  SAS employs nurses and paramedics in Advanced Practice Roles.</w:t>
      </w:r>
    </w:p>
    <w:p w14:paraId="75E35E0E" w14:textId="02AF8683" w:rsidR="00BF48EB" w:rsidRDefault="0025264A" w:rsidP="007D0332">
      <w:r>
        <w:t xml:space="preserve">We therefore seek to </w:t>
      </w:r>
      <w:r w:rsidR="00C977F5">
        <w:t xml:space="preserve">identify advanced practice programmes </w:t>
      </w:r>
      <w:r w:rsidR="00A26133">
        <w:t xml:space="preserve">that are accessible </w:t>
      </w:r>
      <w:r w:rsidR="00C977F5" w:rsidRPr="00002ACE">
        <w:rPr>
          <w:highlight w:val="yellow"/>
        </w:rPr>
        <w:t>across Scotland</w:t>
      </w:r>
      <w:r w:rsidR="00C977F5">
        <w:t xml:space="preserve"> that can </w:t>
      </w:r>
      <w:r w:rsidR="003059CD">
        <w:t xml:space="preserve">meet </w:t>
      </w:r>
      <w:r w:rsidR="000E273B">
        <w:t xml:space="preserve">the SAS Advanced Practice programme requirements, </w:t>
      </w:r>
      <w:r w:rsidR="007C18BD">
        <w:t>to</w:t>
      </w:r>
      <w:r w:rsidR="000E273B">
        <w:t xml:space="preserve"> create an ‘approved AP programme provider’ list.</w:t>
      </w:r>
      <w:r w:rsidR="002C1D45">
        <w:t xml:space="preserve"> The vision is for </w:t>
      </w:r>
      <w:r w:rsidR="001C2D57">
        <w:t>future SAS AP trainees to be given</w:t>
      </w:r>
      <w:r w:rsidR="00333901">
        <w:t xml:space="preserve"> flexibility to determine their own preferred </w:t>
      </w:r>
      <w:r w:rsidR="0069154D">
        <w:t xml:space="preserve">programme, taking account of their own preferred learning style, </w:t>
      </w:r>
      <w:r w:rsidR="004F4DBA">
        <w:t xml:space="preserve">closest location and </w:t>
      </w:r>
      <w:r w:rsidR="0069154D">
        <w:t>supporting a work/life balance through considering attendance requirements</w:t>
      </w:r>
      <w:r w:rsidR="000E2EB9">
        <w:t xml:space="preserve">. This decision would </w:t>
      </w:r>
      <w:r w:rsidR="00162EFB">
        <w:t>b</w:t>
      </w:r>
      <w:r w:rsidR="000E2EB9">
        <w:t xml:space="preserve">e made </w:t>
      </w:r>
      <w:r w:rsidR="00BF48EB">
        <w:t>jointly with thei</w:t>
      </w:r>
      <w:r w:rsidR="004F4DBA">
        <w:t xml:space="preserve">r manager, as there will also be consideration for the </w:t>
      </w:r>
      <w:r w:rsidR="00FB497F">
        <w:t>ensuring cost effectiveness.</w:t>
      </w:r>
    </w:p>
    <w:p w14:paraId="08C4422A" w14:textId="4AC6D6FE" w:rsidR="00021431" w:rsidRDefault="00FB1124" w:rsidP="00E95BAA">
      <w:r>
        <w:t xml:space="preserve">This will also support </w:t>
      </w:r>
      <w:r w:rsidR="00E95BAA">
        <w:t>the creation of a future</w:t>
      </w:r>
      <w:r>
        <w:t xml:space="preserve"> cohort</w:t>
      </w:r>
      <w:r w:rsidR="00021431">
        <w:t xml:space="preserve"> of qualified APs who have </w:t>
      </w:r>
      <w:r w:rsidR="005806C1">
        <w:t>varied</w:t>
      </w:r>
      <w:r w:rsidR="00C12A78">
        <w:t xml:space="preserve"> </w:t>
      </w:r>
      <w:r w:rsidR="00E72012">
        <w:t xml:space="preserve">experience and </w:t>
      </w:r>
      <w:r w:rsidR="00890A7B">
        <w:t>knowledge</w:t>
      </w:r>
      <w:r w:rsidR="00021431">
        <w:t xml:space="preserve">, while still having standardised competencies demonstrated through the </w:t>
      </w:r>
      <w:r w:rsidR="00890A7B">
        <w:t xml:space="preserve">SAS </w:t>
      </w:r>
      <w:r w:rsidR="00021431">
        <w:t>competency framework.</w:t>
      </w:r>
      <w:r w:rsidR="009F57ED">
        <w:t xml:space="preserve"> </w:t>
      </w:r>
    </w:p>
    <w:p w14:paraId="638B2DBB" w14:textId="31078498" w:rsidR="00407B20" w:rsidRDefault="00407B20" w:rsidP="00407B20">
      <w:pPr>
        <w:pStyle w:val="Heading2"/>
      </w:pPr>
      <w:r>
        <w:t>Programme requirements</w:t>
      </w:r>
    </w:p>
    <w:p w14:paraId="2619F37F" w14:textId="2C5577EE" w:rsidR="00715B54" w:rsidRDefault="00212959">
      <w:r>
        <w:t xml:space="preserve">Please indicate how the </w:t>
      </w:r>
      <w:r w:rsidR="00407B20">
        <w:t>Advanced Practice programme meets t</w:t>
      </w:r>
      <w:r w:rsidR="00DB5D69">
        <w:t xml:space="preserve">he following criteria </w:t>
      </w:r>
      <w:r w:rsidR="00897A62">
        <w:t>for SAS trainees</w:t>
      </w:r>
      <w:r w:rsidR="00E36B90">
        <w:t>:</w:t>
      </w:r>
    </w:p>
    <w:p w14:paraId="60CCD891" w14:textId="6847FB78" w:rsidR="00407B20" w:rsidRPr="00407B20" w:rsidRDefault="00407B20" w:rsidP="00407B20">
      <w:pPr>
        <w:pStyle w:val="Heading3"/>
      </w:pPr>
      <w:r>
        <w:t>Essential criteria:</w:t>
      </w:r>
    </w:p>
    <w:tbl>
      <w:tblPr>
        <w:tblStyle w:val="TableGrid"/>
        <w:tblW w:w="0" w:type="auto"/>
        <w:tblLook w:val="04A0" w:firstRow="1" w:lastRow="0" w:firstColumn="1" w:lastColumn="0" w:noHBand="0" w:noVBand="1"/>
      </w:tblPr>
      <w:tblGrid>
        <w:gridCol w:w="4508"/>
        <w:gridCol w:w="4508"/>
      </w:tblGrid>
      <w:tr w:rsidR="00E36B90" w14:paraId="2E5E1841" w14:textId="77777777" w:rsidTr="00E36B90">
        <w:tc>
          <w:tcPr>
            <w:tcW w:w="4508" w:type="dxa"/>
          </w:tcPr>
          <w:p w14:paraId="60929B5F" w14:textId="35615ED1" w:rsidR="00E36B90" w:rsidRPr="00841E29" w:rsidRDefault="00E36B90">
            <w:pPr>
              <w:rPr>
                <w:b/>
                <w:bCs/>
              </w:rPr>
            </w:pPr>
            <w:r w:rsidRPr="00841E29">
              <w:rPr>
                <w:b/>
                <w:bCs/>
              </w:rPr>
              <w:t>Criterion:</w:t>
            </w:r>
          </w:p>
        </w:tc>
        <w:tc>
          <w:tcPr>
            <w:tcW w:w="4508" w:type="dxa"/>
          </w:tcPr>
          <w:p w14:paraId="735F6978" w14:textId="737F4E04" w:rsidR="00E36B90" w:rsidRPr="00841E29" w:rsidRDefault="00E36B90">
            <w:pPr>
              <w:rPr>
                <w:b/>
                <w:bCs/>
              </w:rPr>
            </w:pPr>
            <w:r w:rsidRPr="00841E29">
              <w:rPr>
                <w:b/>
                <w:bCs/>
              </w:rPr>
              <w:t>Evidence:</w:t>
            </w:r>
          </w:p>
        </w:tc>
      </w:tr>
      <w:tr w:rsidR="000172C9" w14:paraId="4F0809DE" w14:textId="77777777" w:rsidTr="00841E29">
        <w:tc>
          <w:tcPr>
            <w:tcW w:w="4508" w:type="dxa"/>
            <w:shd w:val="clear" w:color="auto" w:fill="BFBFBF" w:themeFill="background1" w:themeFillShade="BF"/>
          </w:tcPr>
          <w:p w14:paraId="7B865369" w14:textId="3E1DD3E7" w:rsidR="000172C9" w:rsidRPr="000172C9" w:rsidRDefault="004E5745">
            <w:pPr>
              <w:rPr>
                <w:b/>
                <w:bCs/>
              </w:rPr>
            </w:pPr>
            <w:r>
              <w:rPr>
                <w:b/>
                <w:bCs/>
              </w:rPr>
              <w:t xml:space="preserve">Programme Criteria - </w:t>
            </w:r>
            <w:r w:rsidR="000172C9" w:rsidRPr="000172C9">
              <w:rPr>
                <w:b/>
                <w:bCs/>
              </w:rPr>
              <w:t>General</w:t>
            </w:r>
          </w:p>
        </w:tc>
        <w:tc>
          <w:tcPr>
            <w:tcW w:w="4508" w:type="dxa"/>
            <w:shd w:val="clear" w:color="auto" w:fill="BFBFBF" w:themeFill="background1" w:themeFillShade="BF"/>
          </w:tcPr>
          <w:p w14:paraId="6B3AEFA2" w14:textId="77777777" w:rsidR="000172C9" w:rsidRDefault="000172C9"/>
        </w:tc>
      </w:tr>
      <w:tr w:rsidR="006C2C76" w14:paraId="72662727" w14:textId="77777777" w:rsidTr="00E36B90">
        <w:tc>
          <w:tcPr>
            <w:tcW w:w="4508" w:type="dxa"/>
          </w:tcPr>
          <w:p w14:paraId="32CE684E" w14:textId="296F8104" w:rsidR="006C2C76" w:rsidRDefault="006C2C76">
            <w:r>
              <w:lastRenderedPageBreak/>
              <w:t>The programme i</w:t>
            </w:r>
            <w:r w:rsidR="00D5630A">
              <w:t>s offered on a part-time basis for students.</w:t>
            </w:r>
          </w:p>
        </w:tc>
        <w:tc>
          <w:tcPr>
            <w:tcW w:w="4508" w:type="dxa"/>
          </w:tcPr>
          <w:p w14:paraId="33843807" w14:textId="77777777" w:rsidR="006C2C76" w:rsidRDefault="006C2C76"/>
        </w:tc>
      </w:tr>
      <w:tr w:rsidR="00E36B90" w14:paraId="5611F25C" w14:textId="77777777" w:rsidTr="00E36B90">
        <w:tc>
          <w:tcPr>
            <w:tcW w:w="4508" w:type="dxa"/>
          </w:tcPr>
          <w:p w14:paraId="6AD55299" w14:textId="2D6C3BDC" w:rsidR="00E36B90" w:rsidRDefault="00582A3F">
            <w:r>
              <w:t>The programme leads to a Postgraduate Diploma in Advanced Practice.</w:t>
            </w:r>
          </w:p>
        </w:tc>
        <w:tc>
          <w:tcPr>
            <w:tcW w:w="4508" w:type="dxa"/>
          </w:tcPr>
          <w:p w14:paraId="14CEA162" w14:textId="77777777" w:rsidR="00E36B90" w:rsidRDefault="00E36B90"/>
        </w:tc>
      </w:tr>
      <w:tr w:rsidR="00E36B90" w14:paraId="40CEAD77" w14:textId="77777777" w:rsidTr="00E36B90">
        <w:tc>
          <w:tcPr>
            <w:tcW w:w="4508" w:type="dxa"/>
          </w:tcPr>
          <w:p w14:paraId="098B9163" w14:textId="1E19FA0A" w:rsidR="00E36B90" w:rsidRDefault="00316C92">
            <w:r>
              <w:t>The modules that the student is required to complete, considering both SAS and university-based requirements, allows them to achieve the PG Dip with 120 credits.</w:t>
            </w:r>
          </w:p>
        </w:tc>
        <w:tc>
          <w:tcPr>
            <w:tcW w:w="4508" w:type="dxa"/>
          </w:tcPr>
          <w:p w14:paraId="4A552DE6" w14:textId="77777777" w:rsidR="00E36B90" w:rsidRDefault="00E36B90"/>
        </w:tc>
      </w:tr>
      <w:tr w:rsidR="00E36B90" w14:paraId="43CD4FE3" w14:textId="77777777" w:rsidTr="00E36B90">
        <w:tc>
          <w:tcPr>
            <w:tcW w:w="4508" w:type="dxa"/>
          </w:tcPr>
          <w:p w14:paraId="53E1910F" w14:textId="2BA3E391" w:rsidR="00E36B90" w:rsidRDefault="00316C92">
            <w:r>
              <w:t>The</w:t>
            </w:r>
            <w:r w:rsidR="001C24FA">
              <w:t xml:space="preserve"> university is based in Scotland.</w:t>
            </w:r>
          </w:p>
        </w:tc>
        <w:tc>
          <w:tcPr>
            <w:tcW w:w="4508" w:type="dxa"/>
          </w:tcPr>
          <w:p w14:paraId="0F86DCB2" w14:textId="77777777" w:rsidR="00E36B90" w:rsidRDefault="00E36B90"/>
        </w:tc>
      </w:tr>
      <w:tr w:rsidR="001C24FA" w14:paraId="187E213F" w14:textId="77777777" w:rsidTr="00E36B90">
        <w:tc>
          <w:tcPr>
            <w:tcW w:w="4508" w:type="dxa"/>
          </w:tcPr>
          <w:p w14:paraId="5A22DD10" w14:textId="3922C368" w:rsidR="001C24FA" w:rsidRDefault="00483B4B" w:rsidP="00483B4B">
            <w:r>
              <w:t xml:space="preserve">The programme will consider recognition of prior modules in line with the university guidelines. </w:t>
            </w:r>
          </w:p>
        </w:tc>
        <w:tc>
          <w:tcPr>
            <w:tcW w:w="4508" w:type="dxa"/>
          </w:tcPr>
          <w:p w14:paraId="06878821" w14:textId="77777777" w:rsidR="001C24FA" w:rsidRDefault="001C24FA"/>
        </w:tc>
      </w:tr>
      <w:tr w:rsidR="00483B4B" w14:paraId="26C29465" w14:textId="77777777" w:rsidTr="00E36B90">
        <w:tc>
          <w:tcPr>
            <w:tcW w:w="4508" w:type="dxa"/>
          </w:tcPr>
          <w:p w14:paraId="043A344E" w14:textId="5A917D0A" w:rsidR="00483B4B" w:rsidRDefault="00483B4B" w:rsidP="00483B4B">
            <w:r>
              <w:t xml:space="preserve">Informal guidance on the likelihood of recognition of prior studies being accepted can be provided for individual cases at an early stage to allow SAS to make a timely decision on whether to consider an alternative programme. </w:t>
            </w:r>
          </w:p>
        </w:tc>
        <w:tc>
          <w:tcPr>
            <w:tcW w:w="4508" w:type="dxa"/>
          </w:tcPr>
          <w:p w14:paraId="47F540C5" w14:textId="77777777" w:rsidR="00483B4B" w:rsidRDefault="00483B4B"/>
        </w:tc>
      </w:tr>
      <w:tr w:rsidR="00483B4B" w14:paraId="6DEC8EDF" w14:textId="77777777" w:rsidTr="00E36B90">
        <w:tc>
          <w:tcPr>
            <w:tcW w:w="4508" w:type="dxa"/>
          </w:tcPr>
          <w:p w14:paraId="4931CCFC" w14:textId="63276A65" w:rsidR="00483B4B" w:rsidRDefault="00AF60F6" w:rsidP="00AF60F6">
            <w:r>
              <w:t>The programme is set up for multi-disciplinary advanced practice students.</w:t>
            </w:r>
          </w:p>
        </w:tc>
        <w:tc>
          <w:tcPr>
            <w:tcW w:w="4508" w:type="dxa"/>
          </w:tcPr>
          <w:p w14:paraId="1691AED3" w14:textId="77777777" w:rsidR="00483B4B" w:rsidRDefault="00483B4B"/>
        </w:tc>
      </w:tr>
      <w:tr w:rsidR="00AF60F6" w14:paraId="73A66A4B" w14:textId="77777777" w:rsidTr="00E36B90">
        <w:tc>
          <w:tcPr>
            <w:tcW w:w="4508" w:type="dxa"/>
          </w:tcPr>
          <w:p w14:paraId="269E4463" w14:textId="5C2CA791" w:rsidR="00AF60F6" w:rsidRDefault="008D1AE6" w:rsidP="008D1AE6">
            <w:pPr>
              <w:tabs>
                <w:tab w:val="left" w:pos="2870"/>
              </w:tabs>
            </w:pPr>
            <w:r>
              <w:t>The programme’s intake timings should be specified.</w:t>
            </w:r>
          </w:p>
        </w:tc>
        <w:tc>
          <w:tcPr>
            <w:tcW w:w="4508" w:type="dxa"/>
          </w:tcPr>
          <w:p w14:paraId="20B24FA7" w14:textId="77777777" w:rsidR="00AF60F6" w:rsidRDefault="00AF60F6"/>
        </w:tc>
      </w:tr>
      <w:tr w:rsidR="000172C9" w14:paraId="16D064F7" w14:textId="77777777" w:rsidTr="00407B20">
        <w:tc>
          <w:tcPr>
            <w:tcW w:w="4508" w:type="dxa"/>
            <w:shd w:val="clear" w:color="auto" w:fill="BFBFBF" w:themeFill="background1" w:themeFillShade="BF"/>
          </w:tcPr>
          <w:p w14:paraId="20EA9050" w14:textId="284455C8" w:rsidR="000172C9" w:rsidRPr="000172C9" w:rsidRDefault="000172C9" w:rsidP="008D1AE6">
            <w:pPr>
              <w:tabs>
                <w:tab w:val="left" w:pos="2870"/>
              </w:tabs>
              <w:rPr>
                <w:b/>
                <w:bCs/>
              </w:rPr>
            </w:pPr>
            <w:r>
              <w:rPr>
                <w:b/>
                <w:bCs/>
              </w:rPr>
              <w:t>Comm</w:t>
            </w:r>
            <w:r w:rsidR="004F53AB">
              <w:rPr>
                <w:b/>
                <w:bCs/>
              </w:rPr>
              <w:t>unication</w:t>
            </w:r>
          </w:p>
        </w:tc>
        <w:tc>
          <w:tcPr>
            <w:tcW w:w="4508" w:type="dxa"/>
            <w:shd w:val="clear" w:color="auto" w:fill="BFBFBF" w:themeFill="background1" w:themeFillShade="BF"/>
          </w:tcPr>
          <w:p w14:paraId="61AF22A1" w14:textId="77777777" w:rsidR="000172C9" w:rsidRDefault="000172C9"/>
        </w:tc>
      </w:tr>
      <w:tr w:rsidR="004F53AB" w14:paraId="1CD1CC82" w14:textId="77777777" w:rsidTr="00E36B90">
        <w:tc>
          <w:tcPr>
            <w:tcW w:w="4508" w:type="dxa"/>
          </w:tcPr>
          <w:p w14:paraId="18C28100" w14:textId="24A6B714" w:rsidR="004F53AB" w:rsidRDefault="00915EA3" w:rsidP="008D1AE6">
            <w:pPr>
              <w:tabs>
                <w:tab w:val="left" w:pos="2870"/>
              </w:tabs>
              <w:rPr>
                <w:b/>
                <w:bCs/>
              </w:rPr>
            </w:pPr>
            <w:r>
              <w:t>The programme can provide a contact person for the SAS Advanced Practice Leadership team to deal with.</w:t>
            </w:r>
          </w:p>
        </w:tc>
        <w:tc>
          <w:tcPr>
            <w:tcW w:w="4508" w:type="dxa"/>
          </w:tcPr>
          <w:p w14:paraId="78DBA18E" w14:textId="77777777" w:rsidR="004F53AB" w:rsidRDefault="004F53AB"/>
        </w:tc>
      </w:tr>
      <w:tr w:rsidR="00915EA3" w14:paraId="21779784" w14:textId="77777777" w:rsidTr="00E36B90">
        <w:tc>
          <w:tcPr>
            <w:tcW w:w="4508" w:type="dxa"/>
          </w:tcPr>
          <w:p w14:paraId="7908D0CB" w14:textId="7679B503" w:rsidR="00915EA3" w:rsidRDefault="00125E71" w:rsidP="00125E71">
            <w:pPr>
              <w:tabs>
                <w:tab w:val="left" w:pos="2870"/>
              </w:tabs>
            </w:pPr>
            <w:r w:rsidRPr="00125E71">
              <w:t xml:space="preserve">Programmes </w:t>
            </w:r>
            <w:r w:rsidR="00DA2273">
              <w:t xml:space="preserve">can </w:t>
            </w:r>
            <w:r w:rsidRPr="00125E71">
              <w:t>provide a summary of their programme to help SAS trainees and their managers determine their preferred programme.</w:t>
            </w:r>
          </w:p>
        </w:tc>
        <w:tc>
          <w:tcPr>
            <w:tcW w:w="4508" w:type="dxa"/>
          </w:tcPr>
          <w:p w14:paraId="623EE22C" w14:textId="58914782" w:rsidR="00915EA3" w:rsidRDefault="00DA2273">
            <w:r>
              <w:t xml:space="preserve">See Appendix </w:t>
            </w:r>
            <w:r w:rsidR="00D13735">
              <w:t>1</w:t>
            </w:r>
            <w:r w:rsidR="0081528B">
              <w:t xml:space="preserve"> for </w:t>
            </w:r>
            <w:r w:rsidR="00DA5952">
              <w:t xml:space="preserve">programme </w:t>
            </w:r>
            <w:r w:rsidR="0081528B">
              <w:t>summary info</w:t>
            </w:r>
            <w:r w:rsidR="00DA5952">
              <w:t>rmation to be provided</w:t>
            </w:r>
          </w:p>
        </w:tc>
      </w:tr>
      <w:tr w:rsidR="00DA5952" w14:paraId="47F5E52C" w14:textId="77777777" w:rsidTr="00841E29">
        <w:tc>
          <w:tcPr>
            <w:tcW w:w="4508" w:type="dxa"/>
            <w:shd w:val="clear" w:color="auto" w:fill="BFBFBF" w:themeFill="background1" w:themeFillShade="BF"/>
          </w:tcPr>
          <w:p w14:paraId="49FC25E3" w14:textId="39DB93E3" w:rsidR="00DA5952" w:rsidRPr="00C55683" w:rsidRDefault="00C55683" w:rsidP="00125E71">
            <w:pPr>
              <w:tabs>
                <w:tab w:val="left" w:pos="2870"/>
              </w:tabs>
              <w:rPr>
                <w:b/>
                <w:bCs/>
              </w:rPr>
            </w:pPr>
            <w:r>
              <w:rPr>
                <w:b/>
                <w:bCs/>
              </w:rPr>
              <w:t>Programme Criteria – specifics</w:t>
            </w:r>
          </w:p>
        </w:tc>
        <w:tc>
          <w:tcPr>
            <w:tcW w:w="4508" w:type="dxa"/>
            <w:shd w:val="clear" w:color="auto" w:fill="BFBFBF" w:themeFill="background1" w:themeFillShade="BF"/>
          </w:tcPr>
          <w:p w14:paraId="694645F0" w14:textId="77777777" w:rsidR="00DA5952" w:rsidRDefault="00DA5952"/>
        </w:tc>
      </w:tr>
      <w:tr w:rsidR="00C55683" w14:paraId="6DFBEBCB" w14:textId="77777777" w:rsidTr="00E36B90">
        <w:tc>
          <w:tcPr>
            <w:tcW w:w="4508" w:type="dxa"/>
          </w:tcPr>
          <w:p w14:paraId="0BFC59B1" w14:textId="77777777" w:rsidR="004E5745" w:rsidRDefault="004E5745" w:rsidP="004E5745">
            <w:r>
              <w:t>Completion of the first 60 credits worth of modules provides assurance to SAS that trainee APs can move into the rotational elements of the role, as they have been assessed in the following:</w:t>
            </w:r>
          </w:p>
          <w:p w14:paraId="6B099D29" w14:textId="77777777" w:rsidR="004E5745" w:rsidRDefault="004E5745" w:rsidP="004E5745">
            <w:pPr>
              <w:pStyle w:val="ListParagraph"/>
              <w:numPr>
                <w:ilvl w:val="0"/>
                <w:numId w:val="1"/>
              </w:numPr>
            </w:pPr>
            <w:r>
              <w:t>developed advanced assessment skills</w:t>
            </w:r>
          </w:p>
          <w:p w14:paraId="6ADF2122" w14:textId="77777777" w:rsidR="004E5745" w:rsidRDefault="004E5745" w:rsidP="004E5745">
            <w:pPr>
              <w:pStyle w:val="ListParagraph"/>
              <w:numPr>
                <w:ilvl w:val="0"/>
                <w:numId w:val="1"/>
              </w:numPr>
            </w:pPr>
            <w:r>
              <w:t>increased knowledge of the management of urgent and primary care presentations</w:t>
            </w:r>
          </w:p>
          <w:p w14:paraId="0D06FD48" w14:textId="77777777" w:rsidR="004E5745" w:rsidRDefault="004E5745" w:rsidP="004E5745">
            <w:pPr>
              <w:pStyle w:val="ListParagraph"/>
              <w:numPr>
                <w:ilvl w:val="0"/>
                <w:numId w:val="1"/>
              </w:numPr>
            </w:pPr>
            <w:r>
              <w:t>developed clinical reasoning and decision-making skills</w:t>
            </w:r>
          </w:p>
          <w:p w14:paraId="736CFA84" w14:textId="2C429C43" w:rsidR="00C55683" w:rsidRPr="004E5745" w:rsidRDefault="004E5745" w:rsidP="004E5745">
            <w:pPr>
              <w:pStyle w:val="ListParagraph"/>
              <w:numPr>
                <w:ilvl w:val="0"/>
                <w:numId w:val="1"/>
              </w:numPr>
            </w:pPr>
            <w:r>
              <w:t>have demonstrated that they can apply that new knowledge and skills in practice.</w:t>
            </w:r>
          </w:p>
        </w:tc>
        <w:tc>
          <w:tcPr>
            <w:tcW w:w="4508" w:type="dxa"/>
          </w:tcPr>
          <w:p w14:paraId="36D394B0" w14:textId="77777777" w:rsidR="00C55683" w:rsidRDefault="00C55683"/>
        </w:tc>
      </w:tr>
      <w:tr w:rsidR="004E5745" w14:paraId="7C3DE200" w14:textId="77777777" w:rsidTr="00E36B90">
        <w:tc>
          <w:tcPr>
            <w:tcW w:w="4508" w:type="dxa"/>
          </w:tcPr>
          <w:p w14:paraId="628FF4C5" w14:textId="7F95BC6A" w:rsidR="004E5745" w:rsidRDefault="005E6FF7" w:rsidP="004E5745">
            <w:r>
              <w:t xml:space="preserve">For normal progression, the is no more than 12 months from the programme start date to </w:t>
            </w:r>
            <w:r>
              <w:lastRenderedPageBreak/>
              <w:t>the confirmation of results at exam / progression board.</w:t>
            </w:r>
          </w:p>
        </w:tc>
        <w:tc>
          <w:tcPr>
            <w:tcW w:w="4508" w:type="dxa"/>
          </w:tcPr>
          <w:p w14:paraId="47AE13E4" w14:textId="77777777" w:rsidR="004E5745" w:rsidRDefault="004E5745"/>
        </w:tc>
      </w:tr>
      <w:tr w:rsidR="005E6FF7" w14:paraId="4EB6D756" w14:textId="77777777" w:rsidTr="00E36B90">
        <w:tc>
          <w:tcPr>
            <w:tcW w:w="4508" w:type="dxa"/>
          </w:tcPr>
          <w:p w14:paraId="193123D6" w14:textId="65C7CBFB" w:rsidR="005E6FF7" w:rsidRDefault="006249E4" w:rsidP="004E5745">
            <w:r>
              <w:t>Normally, students should receive exam / progression board confirmation of any second diet results within 6 months of the first diet exam / progression board.</w:t>
            </w:r>
          </w:p>
        </w:tc>
        <w:tc>
          <w:tcPr>
            <w:tcW w:w="4508" w:type="dxa"/>
          </w:tcPr>
          <w:p w14:paraId="0D3894F3" w14:textId="0FE4823C" w:rsidR="005E6FF7" w:rsidRDefault="006249E4">
            <w:r>
              <w:t>Please provide an example of a resit timeline.</w:t>
            </w:r>
          </w:p>
        </w:tc>
      </w:tr>
      <w:tr w:rsidR="0025585B" w14:paraId="0700D9F5" w14:textId="77777777" w:rsidTr="00E36B90">
        <w:tc>
          <w:tcPr>
            <w:tcW w:w="4508" w:type="dxa"/>
          </w:tcPr>
          <w:p w14:paraId="46B64313" w14:textId="77777777" w:rsidR="0025585B" w:rsidRDefault="0025585B" w:rsidP="0025585B">
            <w:r>
              <w:t>Across the 120 credits to achieve the PG Dip in Advanced Practice, the programme will ensure that students complete modules that include the following:</w:t>
            </w:r>
          </w:p>
          <w:p w14:paraId="59381D26" w14:textId="0F955ED6" w:rsidR="0025585B" w:rsidRDefault="0025585B" w:rsidP="0025585B">
            <w:pPr>
              <w:pStyle w:val="ListParagraph"/>
              <w:numPr>
                <w:ilvl w:val="0"/>
                <w:numId w:val="2"/>
              </w:numPr>
            </w:pPr>
            <w:r>
              <w:t xml:space="preserve">A module leading to </w:t>
            </w:r>
            <w:r w:rsidR="00212959">
              <w:t>independent</w:t>
            </w:r>
            <w:r>
              <w:t xml:space="preserve"> prescribing qualification</w:t>
            </w:r>
          </w:p>
          <w:p w14:paraId="58C30E33" w14:textId="77777777" w:rsidR="0025585B" w:rsidRDefault="0025585B" w:rsidP="0025585B">
            <w:pPr>
              <w:pStyle w:val="ListParagraph"/>
              <w:numPr>
                <w:ilvl w:val="0"/>
                <w:numId w:val="2"/>
              </w:numPr>
            </w:pPr>
            <w:r>
              <w:t>Direct teaching of advanced assessment skills (online or face to face)</w:t>
            </w:r>
          </w:p>
          <w:p w14:paraId="4E049ABC" w14:textId="77777777" w:rsidR="0025585B" w:rsidRDefault="0025585B" w:rsidP="0025585B">
            <w:pPr>
              <w:pStyle w:val="ListParagraph"/>
              <w:numPr>
                <w:ilvl w:val="0"/>
                <w:numId w:val="2"/>
              </w:numPr>
            </w:pPr>
            <w:r>
              <w:t xml:space="preserve">Applied clinical decision-making skills </w:t>
            </w:r>
          </w:p>
          <w:p w14:paraId="4BF80B36" w14:textId="31094BC8" w:rsidR="0025585B" w:rsidRDefault="0025585B" w:rsidP="004E5745">
            <w:pPr>
              <w:pStyle w:val="ListParagraph"/>
              <w:numPr>
                <w:ilvl w:val="0"/>
                <w:numId w:val="2"/>
              </w:numPr>
            </w:pPr>
            <w:r>
              <w:t xml:space="preserve">Applied knowledge of urgent and primary care conditions </w:t>
            </w:r>
          </w:p>
        </w:tc>
        <w:tc>
          <w:tcPr>
            <w:tcW w:w="4508" w:type="dxa"/>
          </w:tcPr>
          <w:p w14:paraId="05D2E752" w14:textId="77777777" w:rsidR="0025585B" w:rsidRDefault="0025585B"/>
        </w:tc>
      </w:tr>
      <w:tr w:rsidR="00C55BBB" w14:paraId="75E4CE10" w14:textId="77777777" w:rsidTr="00E36B90">
        <w:tc>
          <w:tcPr>
            <w:tcW w:w="4508" w:type="dxa"/>
          </w:tcPr>
          <w:p w14:paraId="4DA582C7" w14:textId="6A3BEDC1" w:rsidR="00C55BBB" w:rsidRDefault="00C74F1A" w:rsidP="0025585B">
            <w:r>
              <w:t xml:space="preserve">The module leading to independent prescribing qualification is </w:t>
            </w:r>
            <w:r w:rsidR="00A37283">
              <w:t>undertaken in year 2 of the programme OR</w:t>
            </w:r>
            <w:r w:rsidR="00DB1F0B">
              <w:t xml:space="preserve"> this can be limited as a year to module for SAS-funded staff</w:t>
            </w:r>
            <w:r w:rsidR="006C2C76">
              <w:t>.</w:t>
            </w:r>
          </w:p>
        </w:tc>
        <w:tc>
          <w:tcPr>
            <w:tcW w:w="4508" w:type="dxa"/>
          </w:tcPr>
          <w:p w14:paraId="6196EBE6" w14:textId="77777777" w:rsidR="00C55BBB" w:rsidRDefault="00C55BBB"/>
        </w:tc>
      </w:tr>
      <w:tr w:rsidR="0025585B" w14:paraId="08581B77" w14:textId="77777777" w:rsidTr="00E36B90">
        <w:tc>
          <w:tcPr>
            <w:tcW w:w="4508" w:type="dxa"/>
          </w:tcPr>
          <w:p w14:paraId="1522AF40" w14:textId="7BE04D27" w:rsidR="0025585B" w:rsidRDefault="008B0BF3" w:rsidP="0025585B">
            <w:r>
              <w:t xml:space="preserve">If any of the above listed </w:t>
            </w:r>
            <w:r w:rsidR="00771FC6">
              <w:t xml:space="preserve">essential </w:t>
            </w:r>
            <w:r>
              <w:t xml:space="preserve">content is part of an optional module on the PG Dip programme, please confirm how we can ensure that SAS-funded staff complete these modules. </w:t>
            </w:r>
          </w:p>
        </w:tc>
        <w:tc>
          <w:tcPr>
            <w:tcW w:w="4508" w:type="dxa"/>
          </w:tcPr>
          <w:p w14:paraId="6EA9EF8E" w14:textId="77777777" w:rsidR="0025585B" w:rsidRDefault="0025585B"/>
        </w:tc>
      </w:tr>
      <w:tr w:rsidR="008B0BF3" w14:paraId="4E711ABA" w14:textId="77777777" w:rsidTr="00E36B90">
        <w:tc>
          <w:tcPr>
            <w:tcW w:w="4508" w:type="dxa"/>
          </w:tcPr>
          <w:p w14:paraId="6D12B1F3" w14:textId="169831F2" w:rsidR="008B0BF3" w:rsidRDefault="00ED6EEC" w:rsidP="0025585B">
            <w:r>
              <w:t>Optional modules a</w:t>
            </w:r>
            <w:r w:rsidR="002607B9">
              <w:t>re relevant to SAS AP trainees OR the</w:t>
            </w:r>
            <w:r w:rsidR="00FA0C60">
              <w:t xml:space="preserve"> optional modules available to SAS trainees can be limited to relevant modules only.</w:t>
            </w:r>
          </w:p>
        </w:tc>
        <w:tc>
          <w:tcPr>
            <w:tcW w:w="4508" w:type="dxa"/>
          </w:tcPr>
          <w:p w14:paraId="0141A55A" w14:textId="77777777" w:rsidR="008B0BF3" w:rsidRDefault="008B0BF3"/>
        </w:tc>
      </w:tr>
      <w:tr w:rsidR="00C451D5" w14:paraId="6A36F801" w14:textId="77777777" w:rsidTr="00E36B90">
        <w:tc>
          <w:tcPr>
            <w:tcW w:w="4508" w:type="dxa"/>
          </w:tcPr>
          <w:p w14:paraId="5E82B630" w14:textId="5DA86D11" w:rsidR="00C451D5" w:rsidRDefault="00C451D5" w:rsidP="0025585B">
            <w:r>
              <w:t xml:space="preserve">Academic transcripts confirming results are provided to students in a timely manner after progression / exam board at both the 60 credit and 120 credit completion stages. </w:t>
            </w:r>
          </w:p>
        </w:tc>
        <w:tc>
          <w:tcPr>
            <w:tcW w:w="4508" w:type="dxa"/>
          </w:tcPr>
          <w:p w14:paraId="57942AB3" w14:textId="77777777" w:rsidR="00C451D5" w:rsidRDefault="00C451D5"/>
        </w:tc>
      </w:tr>
    </w:tbl>
    <w:p w14:paraId="0EE4A6DB" w14:textId="77777777" w:rsidR="00E36B90" w:rsidRDefault="00E36B90"/>
    <w:p w14:paraId="4B2FF4A4" w14:textId="3FE5DC2B" w:rsidR="00ED310A" w:rsidRPr="00212959" w:rsidRDefault="00ED310A" w:rsidP="00407B20">
      <w:pPr>
        <w:pStyle w:val="Heading3"/>
      </w:pPr>
      <w:r w:rsidRPr="00212959">
        <w:t>Desirable criteria:</w:t>
      </w:r>
    </w:p>
    <w:tbl>
      <w:tblPr>
        <w:tblStyle w:val="TableGrid"/>
        <w:tblW w:w="0" w:type="auto"/>
        <w:tblLook w:val="04A0" w:firstRow="1" w:lastRow="0" w:firstColumn="1" w:lastColumn="0" w:noHBand="0" w:noVBand="1"/>
      </w:tblPr>
      <w:tblGrid>
        <w:gridCol w:w="4508"/>
        <w:gridCol w:w="4508"/>
      </w:tblGrid>
      <w:tr w:rsidR="00ED310A" w14:paraId="5FEB7940" w14:textId="77777777" w:rsidTr="00ED310A">
        <w:tc>
          <w:tcPr>
            <w:tcW w:w="4508" w:type="dxa"/>
          </w:tcPr>
          <w:p w14:paraId="3C199A2F" w14:textId="1A3ED6BD" w:rsidR="00ED310A" w:rsidRDefault="00E15B47">
            <w:r w:rsidRPr="00E15B47">
              <w:t>The university will consider applications from staff who have been through the SAS trainee AP application process (attached), including occasions when a trainee AP may not hold a degree qualification.</w:t>
            </w:r>
          </w:p>
        </w:tc>
        <w:tc>
          <w:tcPr>
            <w:tcW w:w="4508" w:type="dxa"/>
          </w:tcPr>
          <w:p w14:paraId="3D3CC8AD" w14:textId="77777777" w:rsidR="00ED310A" w:rsidRDefault="00ED310A"/>
        </w:tc>
      </w:tr>
      <w:tr w:rsidR="00ED310A" w14:paraId="705811A0" w14:textId="77777777" w:rsidTr="00ED310A">
        <w:tc>
          <w:tcPr>
            <w:tcW w:w="4508" w:type="dxa"/>
          </w:tcPr>
          <w:p w14:paraId="6797755F" w14:textId="11228812" w:rsidR="00ED310A" w:rsidRDefault="006A7E2F">
            <w:r>
              <w:t>Progress through the programme gives staff opportunities to gather feedback and reflection-based evidence to demonstrate application of knowledge in practice. Ideally this will support the beginnings of their SAS-</w:t>
            </w:r>
            <w:r>
              <w:lastRenderedPageBreak/>
              <w:t>based Competency Framework evidence, which will be stored on Turas Professional Portfolio.</w:t>
            </w:r>
          </w:p>
        </w:tc>
        <w:tc>
          <w:tcPr>
            <w:tcW w:w="4508" w:type="dxa"/>
          </w:tcPr>
          <w:p w14:paraId="387EB7A5" w14:textId="77777777" w:rsidR="00ED310A" w:rsidRDefault="00ED310A"/>
        </w:tc>
      </w:tr>
    </w:tbl>
    <w:p w14:paraId="50AFC0F8" w14:textId="77777777" w:rsidR="00ED310A" w:rsidRDefault="00ED310A"/>
    <w:p w14:paraId="6B1838D5" w14:textId="572038A6" w:rsidR="00CD0DA9" w:rsidRPr="00CD0DA9" w:rsidRDefault="00CD0DA9" w:rsidP="00407B20">
      <w:pPr>
        <w:pStyle w:val="Heading3"/>
      </w:pPr>
      <w:r w:rsidRPr="00CD0DA9">
        <w:t>Additional documents:</w:t>
      </w:r>
    </w:p>
    <w:p w14:paraId="597689B7" w14:textId="77777777" w:rsidR="00CD0DA9" w:rsidRDefault="00CD0DA9" w:rsidP="00CD0DA9">
      <w:r>
        <w:t>Competency Framework documents</w:t>
      </w:r>
    </w:p>
    <w:p w14:paraId="338E0ADF" w14:textId="77777777" w:rsidR="00CD0DA9" w:rsidRDefault="00CD0DA9" w:rsidP="00CD0DA9">
      <w:r>
        <w:t>SAS Application pack</w:t>
      </w:r>
    </w:p>
    <w:p w14:paraId="6B43DB3C" w14:textId="77777777" w:rsidR="00CD0DA9" w:rsidRDefault="00CD0DA9" w:rsidP="00CD0DA9">
      <w:r>
        <w:t>Person Specification and Job Description</w:t>
      </w:r>
    </w:p>
    <w:p w14:paraId="253E7EEA" w14:textId="77777777" w:rsidR="00CD0DA9" w:rsidRDefault="00CD0DA9" w:rsidP="00CD0DA9">
      <w:r>
        <w:t>Example SLA</w:t>
      </w:r>
    </w:p>
    <w:p w14:paraId="0D6E0B71" w14:textId="77777777" w:rsidR="00CD0DA9" w:rsidRDefault="00CD0DA9"/>
    <w:p w14:paraId="6DBDE135" w14:textId="77777777" w:rsidR="000F6801" w:rsidRDefault="000F6801"/>
    <w:p w14:paraId="4165A1B5" w14:textId="5893506F" w:rsidR="000F6801" w:rsidRDefault="00D13735" w:rsidP="00D13735">
      <w:pPr>
        <w:pStyle w:val="Heading1"/>
      </w:pPr>
      <w:r>
        <w:lastRenderedPageBreak/>
        <w:t xml:space="preserve">Appendix 1 - </w:t>
      </w:r>
      <w:r w:rsidR="00727336">
        <w:t>Programme Summary Information:</w:t>
      </w:r>
    </w:p>
    <w:p w14:paraId="5FDBE169" w14:textId="71C3A919" w:rsidR="00727336" w:rsidRDefault="00727336" w:rsidP="00727336">
      <w:r>
        <w:t>Programmes should provide a summary of their programme to help SAS trainees and their managers determine their preferred programme. The summary must include the following:</w:t>
      </w:r>
    </w:p>
    <w:tbl>
      <w:tblPr>
        <w:tblStyle w:val="TableGrid"/>
        <w:tblW w:w="0" w:type="auto"/>
        <w:tblLook w:val="04A0" w:firstRow="1" w:lastRow="0" w:firstColumn="1" w:lastColumn="0" w:noHBand="0" w:noVBand="1"/>
      </w:tblPr>
      <w:tblGrid>
        <w:gridCol w:w="4508"/>
        <w:gridCol w:w="4508"/>
      </w:tblGrid>
      <w:tr w:rsidR="00727336" w14:paraId="271BBD96" w14:textId="77777777" w:rsidTr="00727336">
        <w:tc>
          <w:tcPr>
            <w:tcW w:w="4508" w:type="dxa"/>
          </w:tcPr>
          <w:p w14:paraId="03FBACB5" w14:textId="538C6C49" w:rsidR="00727336" w:rsidRPr="00856701" w:rsidRDefault="00856701" w:rsidP="00727336">
            <w:pPr>
              <w:rPr>
                <w:b/>
                <w:bCs/>
              </w:rPr>
            </w:pPr>
            <w:r w:rsidRPr="00856701">
              <w:rPr>
                <w:b/>
                <w:bCs/>
              </w:rPr>
              <w:t>Requested information:</w:t>
            </w:r>
          </w:p>
        </w:tc>
        <w:tc>
          <w:tcPr>
            <w:tcW w:w="4508" w:type="dxa"/>
          </w:tcPr>
          <w:p w14:paraId="691D60E9" w14:textId="4D231E1C" w:rsidR="00727336" w:rsidRPr="00856701" w:rsidRDefault="00856701" w:rsidP="00727336">
            <w:pPr>
              <w:rPr>
                <w:b/>
                <w:bCs/>
              </w:rPr>
            </w:pPr>
            <w:r w:rsidRPr="00856701">
              <w:rPr>
                <w:b/>
                <w:bCs/>
              </w:rPr>
              <w:t>Details:</w:t>
            </w:r>
          </w:p>
        </w:tc>
      </w:tr>
      <w:tr w:rsidR="00727336" w14:paraId="654945F2" w14:textId="77777777" w:rsidTr="00727336">
        <w:tc>
          <w:tcPr>
            <w:tcW w:w="4508" w:type="dxa"/>
          </w:tcPr>
          <w:p w14:paraId="6E44EF64" w14:textId="30B6E2A9" w:rsidR="00727336" w:rsidRDefault="00856701" w:rsidP="00727336">
            <w:r>
              <w:t>Details of learning and teaching strategies, including information on face to face / online attendance requirements including likely attendance days</w:t>
            </w:r>
          </w:p>
        </w:tc>
        <w:tc>
          <w:tcPr>
            <w:tcW w:w="4508" w:type="dxa"/>
          </w:tcPr>
          <w:p w14:paraId="65A0CF9A" w14:textId="77777777" w:rsidR="00727336" w:rsidRDefault="00727336" w:rsidP="00727336"/>
        </w:tc>
      </w:tr>
      <w:tr w:rsidR="00856701" w14:paraId="5613E45E" w14:textId="77777777" w:rsidTr="00727336">
        <w:tc>
          <w:tcPr>
            <w:tcW w:w="4508" w:type="dxa"/>
          </w:tcPr>
          <w:p w14:paraId="40806562" w14:textId="6B687C03" w:rsidR="00856701" w:rsidRDefault="00856701" w:rsidP="00727336">
            <w:r>
              <w:t>Details of the assessment strategies students will undertake</w:t>
            </w:r>
          </w:p>
        </w:tc>
        <w:tc>
          <w:tcPr>
            <w:tcW w:w="4508" w:type="dxa"/>
          </w:tcPr>
          <w:p w14:paraId="18BE42C3" w14:textId="77777777" w:rsidR="00856701" w:rsidRDefault="00856701" w:rsidP="00727336"/>
        </w:tc>
      </w:tr>
      <w:tr w:rsidR="00C67CCD" w14:paraId="6677F53F" w14:textId="77777777" w:rsidTr="00727336">
        <w:tc>
          <w:tcPr>
            <w:tcW w:w="4508" w:type="dxa"/>
          </w:tcPr>
          <w:p w14:paraId="2D98EBB4" w14:textId="78AC7F56" w:rsidR="00C67CCD" w:rsidRDefault="00C67CCD" w:rsidP="00727336">
            <w:r>
              <w:t>Details of any placement hours required as part of the programme</w:t>
            </w:r>
          </w:p>
        </w:tc>
        <w:tc>
          <w:tcPr>
            <w:tcW w:w="4508" w:type="dxa"/>
          </w:tcPr>
          <w:p w14:paraId="5E971E72" w14:textId="77777777" w:rsidR="00C67CCD" w:rsidRDefault="00C67CCD" w:rsidP="00727336"/>
        </w:tc>
      </w:tr>
      <w:tr w:rsidR="00C67CCD" w14:paraId="627D9E93" w14:textId="77777777" w:rsidTr="00727336">
        <w:tc>
          <w:tcPr>
            <w:tcW w:w="4508" w:type="dxa"/>
          </w:tcPr>
          <w:p w14:paraId="17912AF7" w14:textId="081F56E2" w:rsidR="00C67CCD" w:rsidRDefault="00C67CCD" w:rsidP="00727336">
            <w:r>
              <w:t>Details of any competency framework requirements for the programme</w:t>
            </w:r>
          </w:p>
        </w:tc>
        <w:tc>
          <w:tcPr>
            <w:tcW w:w="4508" w:type="dxa"/>
          </w:tcPr>
          <w:p w14:paraId="372A07E5" w14:textId="77777777" w:rsidR="00C67CCD" w:rsidRDefault="00C67CCD" w:rsidP="00727336"/>
        </w:tc>
      </w:tr>
      <w:tr w:rsidR="00C67CCD" w14:paraId="7015EACC" w14:textId="77777777" w:rsidTr="00727336">
        <w:tc>
          <w:tcPr>
            <w:tcW w:w="4508" w:type="dxa"/>
          </w:tcPr>
          <w:p w14:paraId="324D395C" w14:textId="3451DDE5" w:rsidR="00C67CCD" w:rsidRDefault="00C67CCD" w:rsidP="00727336">
            <w:r>
              <w:t>Please list required and elective modules</w:t>
            </w:r>
          </w:p>
        </w:tc>
        <w:tc>
          <w:tcPr>
            <w:tcW w:w="4508" w:type="dxa"/>
          </w:tcPr>
          <w:p w14:paraId="579E5453" w14:textId="77777777" w:rsidR="00C67CCD" w:rsidRDefault="00C67CCD" w:rsidP="00727336"/>
        </w:tc>
      </w:tr>
      <w:tr w:rsidR="00C67CCD" w14:paraId="24982C4C" w14:textId="77777777" w:rsidTr="00727336">
        <w:tc>
          <w:tcPr>
            <w:tcW w:w="4508" w:type="dxa"/>
          </w:tcPr>
          <w:p w14:paraId="43AC9E52" w14:textId="79778437" w:rsidR="00C67CCD" w:rsidRDefault="00C67CCD" w:rsidP="00727336">
            <w:r>
              <w:t>Please outline admissions criteria</w:t>
            </w:r>
          </w:p>
        </w:tc>
        <w:tc>
          <w:tcPr>
            <w:tcW w:w="4508" w:type="dxa"/>
          </w:tcPr>
          <w:p w14:paraId="50428FEC" w14:textId="77777777" w:rsidR="00C67CCD" w:rsidRDefault="00C67CCD" w:rsidP="00727336"/>
        </w:tc>
      </w:tr>
      <w:tr w:rsidR="00C67CCD" w14:paraId="3210889A" w14:textId="77777777" w:rsidTr="00727336">
        <w:tc>
          <w:tcPr>
            <w:tcW w:w="4508" w:type="dxa"/>
          </w:tcPr>
          <w:p w14:paraId="75C0ABF8" w14:textId="7DF55DC9" w:rsidR="00C67CCD" w:rsidRDefault="00992EEC" w:rsidP="00727336">
            <w:r>
              <w:t>Module costs</w:t>
            </w:r>
          </w:p>
        </w:tc>
        <w:tc>
          <w:tcPr>
            <w:tcW w:w="4508" w:type="dxa"/>
          </w:tcPr>
          <w:p w14:paraId="7B922E8B" w14:textId="77777777" w:rsidR="00C67CCD" w:rsidRDefault="00C67CCD" w:rsidP="00727336"/>
        </w:tc>
      </w:tr>
      <w:tr w:rsidR="00992EEC" w14:paraId="1D3EDD85" w14:textId="77777777" w:rsidTr="00727336">
        <w:tc>
          <w:tcPr>
            <w:tcW w:w="4508" w:type="dxa"/>
          </w:tcPr>
          <w:p w14:paraId="7C4C8BB0" w14:textId="2B0DF566" w:rsidR="00992EEC" w:rsidRDefault="00992EEC" w:rsidP="00727336">
            <w:r>
              <w:t>University-based support available to students</w:t>
            </w:r>
          </w:p>
        </w:tc>
        <w:tc>
          <w:tcPr>
            <w:tcW w:w="4508" w:type="dxa"/>
          </w:tcPr>
          <w:p w14:paraId="1F97CA76" w14:textId="77777777" w:rsidR="00992EEC" w:rsidRDefault="00992EEC" w:rsidP="00727336"/>
        </w:tc>
      </w:tr>
      <w:tr w:rsidR="00992EEC" w14:paraId="5D58F7FE" w14:textId="77777777" w:rsidTr="00727336">
        <w:tc>
          <w:tcPr>
            <w:tcW w:w="4508" w:type="dxa"/>
          </w:tcPr>
          <w:p w14:paraId="45B5E3FB" w14:textId="49803A83" w:rsidR="00992EEC" w:rsidRDefault="00992EEC" w:rsidP="00727336">
            <w:r>
              <w:t xml:space="preserve">Application </w:t>
            </w:r>
            <w:r w:rsidR="00CE7334">
              <w:t>process, including closing date</w:t>
            </w:r>
          </w:p>
        </w:tc>
        <w:tc>
          <w:tcPr>
            <w:tcW w:w="4508" w:type="dxa"/>
          </w:tcPr>
          <w:p w14:paraId="6DF7FAAF" w14:textId="77777777" w:rsidR="00992EEC" w:rsidRDefault="00992EEC" w:rsidP="00727336"/>
        </w:tc>
      </w:tr>
      <w:tr w:rsidR="00CE7334" w14:paraId="65F1811D" w14:textId="77777777" w:rsidTr="00727336">
        <w:tc>
          <w:tcPr>
            <w:tcW w:w="4508" w:type="dxa"/>
          </w:tcPr>
          <w:p w14:paraId="0C32C850" w14:textId="3A38BC63" w:rsidR="00CE7334" w:rsidRDefault="008F7379" w:rsidP="00727336">
            <w:r>
              <w:t>Exam / progression board dates</w:t>
            </w:r>
          </w:p>
        </w:tc>
        <w:tc>
          <w:tcPr>
            <w:tcW w:w="4508" w:type="dxa"/>
          </w:tcPr>
          <w:p w14:paraId="133B5325" w14:textId="77777777" w:rsidR="00CE7334" w:rsidRDefault="00CE7334" w:rsidP="00727336"/>
        </w:tc>
      </w:tr>
      <w:tr w:rsidR="008F7379" w14:paraId="65273B13" w14:textId="77777777" w:rsidTr="00727336">
        <w:tc>
          <w:tcPr>
            <w:tcW w:w="4508" w:type="dxa"/>
          </w:tcPr>
          <w:p w14:paraId="121FA0E4" w14:textId="0360AD71" w:rsidR="008F7379" w:rsidRDefault="008F7379" w:rsidP="00727336">
            <w:r>
              <w:t>Please provide an example timeline of expected progression through the programme for each intake</w:t>
            </w:r>
            <w:r w:rsidR="00D13735">
              <w:t xml:space="preserve"> date</w:t>
            </w:r>
          </w:p>
        </w:tc>
        <w:tc>
          <w:tcPr>
            <w:tcW w:w="4508" w:type="dxa"/>
          </w:tcPr>
          <w:p w14:paraId="626C05CB" w14:textId="77777777" w:rsidR="008F7379" w:rsidRDefault="008F7379" w:rsidP="00727336"/>
        </w:tc>
      </w:tr>
    </w:tbl>
    <w:p w14:paraId="46D839B4" w14:textId="77777777" w:rsidR="00727336" w:rsidRDefault="00727336" w:rsidP="00727336"/>
    <w:p w14:paraId="0599298E" w14:textId="77777777" w:rsidR="00727336" w:rsidRDefault="00727336"/>
    <w:sectPr w:rsidR="0072733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556A" w14:textId="77777777" w:rsidR="00F0371E" w:rsidRDefault="00F0371E" w:rsidP="00D13735">
      <w:pPr>
        <w:spacing w:after="0" w:line="240" w:lineRule="auto"/>
      </w:pPr>
      <w:r>
        <w:separator/>
      </w:r>
    </w:p>
  </w:endnote>
  <w:endnote w:type="continuationSeparator" w:id="0">
    <w:p w14:paraId="05454DFA" w14:textId="77777777" w:rsidR="00F0371E" w:rsidRDefault="00F0371E" w:rsidP="00D1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E1C3" w14:textId="77777777" w:rsidR="00D13735" w:rsidRDefault="00D13735" w:rsidP="00D13735">
    <w:r>
      <w:t>15 November 2024</w:t>
    </w:r>
  </w:p>
  <w:p w14:paraId="6D98AF62" w14:textId="77777777" w:rsidR="00D13735" w:rsidRDefault="00D13735" w:rsidP="00D13735">
    <w:r>
      <w:t>Karen Hamilton, AP Education Lead</w:t>
    </w:r>
  </w:p>
  <w:p w14:paraId="4FE7A01F" w14:textId="3EC56B7C" w:rsidR="00D13735" w:rsidRDefault="00841E29">
    <w:pPr>
      <w:pStyle w:val="Footer"/>
    </w:pPr>
    <w:r>
      <w:t>Scottish Ambulance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E1E1" w14:textId="77777777" w:rsidR="00F0371E" w:rsidRDefault="00F0371E" w:rsidP="00D13735">
      <w:pPr>
        <w:spacing w:after="0" w:line="240" w:lineRule="auto"/>
      </w:pPr>
      <w:r>
        <w:separator/>
      </w:r>
    </w:p>
  </w:footnote>
  <w:footnote w:type="continuationSeparator" w:id="0">
    <w:p w14:paraId="44A2E05B" w14:textId="77777777" w:rsidR="00F0371E" w:rsidRDefault="00F0371E" w:rsidP="00D1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A2157"/>
    <w:multiLevelType w:val="hybridMultilevel"/>
    <w:tmpl w:val="627A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DD266B"/>
    <w:multiLevelType w:val="hybridMultilevel"/>
    <w:tmpl w:val="0CF8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7D6DC5"/>
    <w:multiLevelType w:val="hybridMultilevel"/>
    <w:tmpl w:val="BA52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798420">
    <w:abstractNumId w:val="2"/>
  </w:num>
  <w:num w:numId="2" w16cid:durableId="1214195392">
    <w:abstractNumId w:val="0"/>
  </w:num>
  <w:num w:numId="3" w16cid:durableId="120953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A2"/>
    <w:rsid w:val="00002ACE"/>
    <w:rsid w:val="000172C9"/>
    <w:rsid w:val="00021431"/>
    <w:rsid w:val="000357FB"/>
    <w:rsid w:val="00076AE4"/>
    <w:rsid w:val="000857DD"/>
    <w:rsid w:val="000E273B"/>
    <w:rsid w:val="000E2EB9"/>
    <w:rsid w:val="000F5F2E"/>
    <w:rsid w:val="000F6801"/>
    <w:rsid w:val="00125E71"/>
    <w:rsid w:val="00162EFB"/>
    <w:rsid w:val="001C24FA"/>
    <w:rsid w:val="001C2D57"/>
    <w:rsid w:val="00212959"/>
    <w:rsid w:val="0025264A"/>
    <w:rsid w:val="0025585B"/>
    <w:rsid w:val="002607B9"/>
    <w:rsid w:val="002B7A79"/>
    <w:rsid w:val="002C1D45"/>
    <w:rsid w:val="002F035D"/>
    <w:rsid w:val="003059CD"/>
    <w:rsid w:val="00316C92"/>
    <w:rsid w:val="00333901"/>
    <w:rsid w:val="003D62D4"/>
    <w:rsid w:val="00407B20"/>
    <w:rsid w:val="00483B4B"/>
    <w:rsid w:val="004B4F09"/>
    <w:rsid w:val="004C7700"/>
    <w:rsid w:val="004E5745"/>
    <w:rsid w:val="004F4DBA"/>
    <w:rsid w:val="004F53AB"/>
    <w:rsid w:val="00506D0B"/>
    <w:rsid w:val="005806C1"/>
    <w:rsid w:val="00582A3F"/>
    <w:rsid w:val="005E3647"/>
    <w:rsid w:val="005E6FF7"/>
    <w:rsid w:val="0061774E"/>
    <w:rsid w:val="006249E4"/>
    <w:rsid w:val="00676CCC"/>
    <w:rsid w:val="006842E3"/>
    <w:rsid w:val="0069154D"/>
    <w:rsid w:val="00696741"/>
    <w:rsid w:val="00697D90"/>
    <w:rsid w:val="006A7E2F"/>
    <w:rsid w:val="006C2C76"/>
    <w:rsid w:val="006C3D6F"/>
    <w:rsid w:val="006F1B74"/>
    <w:rsid w:val="00715B54"/>
    <w:rsid w:val="00727336"/>
    <w:rsid w:val="00734E7C"/>
    <w:rsid w:val="00770F9A"/>
    <w:rsid w:val="00771FC6"/>
    <w:rsid w:val="007C18BD"/>
    <w:rsid w:val="007D0332"/>
    <w:rsid w:val="007F071D"/>
    <w:rsid w:val="0081528B"/>
    <w:rsid w:val="00841E29"/>
    <w:rsid w:val="00847B2A"/>
    <w:rsid w:val="00856701"/>
    <w:rsid w:val="00870853"/>
    <w:rsid w:val="00890A7B"/>
    <w:rsid w:val="00897A62"/>
    <w:rsid w:val="008B0BF3"/>
    <w:rsid w:val="008B74B7"/>
    <w:rsid w:val="008D1AE6"/>
    <w:rsid w:val="008F7379"/>
    <w:rsid w:val="00915EA3"/>
    <w:rsid w:val="00951CB5"/>
    <w:rsid w:val="00962408"/>
    <w:rsid w:val="00992EEC"/>
    <w:rsid w:val="009F57ED"/>
    <w:rsid w:val="00A14BDA"/>
    <w:rsid w:val="00A26133"/>
    <w:rsid w:val="00A37283"/>
    <w:rsid w:val="00A524B8"/>
    <w:rsid w:val="00A56516"/>
    <w:rsid w:val="00AB0B4C"/>
    <w:rsid w:val="00AE252F"/>
    <w:rsid w:val="00AF60F6"/>
    <w:rsid w:val="00B20FA2"/>
    <w:rsid w:val="00B367EA"/>
    <w:rsid w:val="00B45538"/>
    <w:rsid w:val="00B53A7A"/>
    <w:rsid w:val="00B96560"/>
    <w:rsid w:val="00BB1885"/>
    <w:rsid w:val="00BE7D12"/>
    <w:rsid w:val="00BF48EB"/>
    <w:rsid w:val="00C01DD7"/>
    <w:rsid w:val="00C12A78"/>
    <w:rsid w:val="00C451D5"/>
    <w:rsid w:val="00C55683"/>
    <w:rsid w:val="00C55BBB"/>
    <w:rsid w:val="00C67CCD"/>
    <w:rsid w:val="00C74F1A"/>
    <w:rsid w:val="00C977F5"/>
    <w:rsid w:val="00CD0DA9"/>
    <w:rsid w:val="00CD1449"/>
    <w:rsid w:val="00CE7334"/>
    <w:rsid w:val="00D027E1"/>
    <w:rsid w:val="00D13735"/>
    <w:rsid w:val="00D54BB9"/>
    <w:rsid w:val="00D5630A"/>
    <w:rsid w:val="00D63076"/>
    <w:rsid w:val="00DA2273"/>
    <w:rsid w:val="00DA5952"/>
    <w:rsid w:val="00DB1F0B"/>
    <w:rsid w:val="00DB5D69"/>
    <w:rsid w:val="00E15B47"/>
    <w:rsid w:val="00E17EDD"/>
    <w:rsid w:val="00E215AA"/>
    <w:rsid w:val="00E22860"/>
    <w:rsid w:val="00E3559E"/>
    <w:rsid w:val="00E36B90"/>
    <w:rsid w:val="00E4207F"/>
    <w:rsid w:val="00E44FC3"/>
    <w:rsid w:val="00E57BD6"/>
    <w:rsid w:val="00E72012"/>
    <w:rsid w:val="00E95BAA"/>
    <w:rsid w:val="00ED310A"/>
    <w:rsid w:val="00ED6EEC"/>
    <w:rsid w:val="00F0371E"/>
    <w:rsid w:val="00FA0C60"/>
    <w:rsid w:val="00FB1124"/>
    <w:rsid w:val="00FB497F"/>
    <w:rsid w:val="00FC2437"/>
    <w:rsid w:val="00FC3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E7AA"/>
  <w15:chartTrackingRefBased/>
  <w15:docId w15:val="{9794DD1D-7D49-4254-B8C0-7B24B9FD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B20"/>
    <w:pPr>
      <w:keepNext/>
      <w:keepLines/>
      <w:pageBreakBefore/>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0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0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0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0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FA2"/>
    <w:rPr>
      <w:rFonts w:eastAsiaTheme="majorEastAsia" w:cstheme="majorBidi"/>
      <w:color w:val="272727" w:themeColor="text1" w:themeTint="D8"/>
    </w:rPr>
  </w:style>
  <w:style w:type="paragraph" w:styleId="Title">
    <w:name w:val="Title"/>
    <w:basedOn w:val="Normal"/>
    <w:next w:val="Normal"/>
    <w:link w:val="TitleChar"/>
    <w:uiPriority w:val="10"/>
    <w:qFormat/>
    <w:rsid w:val="00B20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FA2"/>
    <w:pPr>
      <w:spacing w:before="160"/>
      <w:jc w:val="center"/>
    </w:pPr>
    <w:rPr>
      <w:i/>
      <w:iCs/>
      <w:color w:val="404040" w:themeColor="text1" w:themeTint="BF"/>
    </w:rPr>
  </w:style>
  <w:style w:type="character" w:customStyle="1" w:styleId="QuoteChar">
    <w:name w:val="Quote Char"/>
    <w:basedOn w:val="DefaultParagraphFont"/>
    <w:link w:val="Quote"/>
    <w:uiPriority w:val="29"/>
    <w:rsid w:val="00B20FA2"/>
    <w:rPr>
      <w:i/>
      <w:iCs/>
      <w:color w:val="404040" w:themeColor="text1" w:themeTint="BF"/>
    </w:rPr>
  </w:style>
  <w:style w:type="paragraph" w:styleId="ListParagraph">
    <w:name w:val="List Paragraph"/>
    <w:basedOn w:val="Normal"/>
    <w:uiPriority w:val="34"/>
    <w:qFormat/>
    <w:rsid w:val="00B20FA2"/>
    <w:pPr>
      <w:ind w:left="720"/>
      <w:contextualSpacing/>
    </w:pPr>
  </w:style>
  <w:style w:type="character" w:styleId="IntenseEmphasis">
    <w:name w:val="Intense Emphasis"/>
    <w:basedOn w:val="DefaultParagraphFont"/>
    <w:uiPriority w:val="21"/>
    <w:qFormat/>
    <w:rsid w:val="00B20FA2"/>
    <w:rPr>
      <w:i/>
      <w:iCs/>
      <w:color w:val="0F4761" w:themeColor="accent1" w:themeShade="BF"/>
    </w:rPr>
  </w:style>
  <w:style w:type="paragraph" w:styleId="IntenseQuote">
    <w:name w:val="Intense Quote"/>
    <w:basedOn w:val="Normal"/>
    <w:next w:val="Normal"/>
    <w:link w:val="IntenseQuoteChar"/>
    <w:uiPriority w:val="30"/>
    <w:qFormat/>
    <w:rsid w:val="00B20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FA2"/>
    <w:rPr>
      <w:i/>
      <w:iCs/>
      <w:color w:val="0F4761" w:themeColor="accent1" w:themeShade="BF"/>
    </w:rPr>
  </w:style>
  <w:style w:type="character" w:styleId="IntenseReference">
    <w:name w:val="Intense Reference"/>
    <w:basedOn w:val="DefaultParagraphFont"/>
    <w:uiPriority w:val="32"/>
    <w:qFormat/>
    <w:rsid w:val="00B20FA2"/>
    <w:rPr>
      <w:b/>
      <w:bCs/>
      <w:smallCaps/>
      <w:color w:val="0F4761" w:themeColor="accent1" w:themeShade="BF"/>
      <w:spacing w:val="5"/>
    </w:rPr>
  </w:style>
  <w:style w:type="table" w:styleId="TableGrid">
    <w:name w:val="Table Grid"/>
    <w:basedOn w:val="TableNormal"/>
    <w:uiPriority w:val="39"/>
    <w:rsid w:val="00E36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735"/>
  </w:style>
  <w:style w:type="paragraph" w:styleId="Footer">
    <w:name w:val="footer"/>
    <w:basedOn w:val="Normal"/>
    <w:link w:val="FooterChar"/>
    <w:uiPriority w:val="99"/>
    <w:unhideWhenUsed/>
    <w:rsid w:val="00D13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208</TotalTime>
  <Pages>5</Pages>
  <Words>1046</Words>
  <Characters>5966</Characters>
  <Application>Microsoft Office Word</Application>
  <DocSecurity>0</DocSecurity>
  <Lines>49</Lines>
  <Paragraphs>13</Paragraphs>
  <ScaleCrop>false</ScaleCrop>
  <Company>Scottish Ambulance Service</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Hamilton (SAS)</dc:creator>
  <cp:keywords/>
  <dc:description/>
  <cp:lastModifiedBy>Karen Hamilton (SAS)</cp:lastModifiedBy>
  <cp:revision>116</cp:revision>
  <dcterms:created xsi:type="dcterms:W3CDTF">2024-11-15T07:28:00Z</dcterms:created>
  <dcterms:modified xsi:type="dcterms:W3CDTF">2025-01-15T15:34:00Z</dcterms:modified>
</cp:coreProperties>
</file>